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MODÈLE OPÉRATIONNEL · VERSION 1.2 · 11 AOÛT 2026</w:t>
      </w:r>
    </w:p>
    <w:p>
      <w:pPr>
        <w:pStyle w:val="Title"/>
      </w:pPr>
      <w:r>
        <w:t>Cahier des charges</w:t>
        <w:br/>
        <w:t>de refonte de site B2B</w:t>
      </w:r>
    </w:p>
    <w:p>
      <w:pPr>
        <w:pStyle w:val="Subtitle"/>
      </w:pPr>
      <w:r>
        <w:t>Huit pages pour rendre le périmètre, la proposition et la recette comparables.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340"/>
        <w:gridCol w:w="2340"/>
        <w:gridCol w:w="2340"/>
        <w:gridCol w:w="2340"/>
      </w:tblGrid>
      <w:tr>
        <w:trPr>
          <w:tblHeader w:val="true"/>
          <w:cantSplit/>
        </w:trPr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Organisation</w:t>
            </w:r>
          </w:p>
        </w:tc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Projet</w:t>
            </w:r>
          </w:p>
        </w:tc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Référent</w:t>
            </w:r>
          </w:p>
        </w:tc>
        <w:tc>
          <w:tcPr>
            <w:tcW w:type="dxa" w:w="23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Version souhaitée</w:t>
            </w:r>
          </w:p>
        </w:tc>
      </w:tr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[À compléter]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[À compléter]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[Nom · rôle · email]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[Date / jalon]</w:t>
            </w:r>
          </w:p>
        </w:tc>
      </w:tr>
    </w:tbl>
    <w:p>
      <w:pPr>
        <w:pStyle w:val="Heading1"/>
        <w:keepNext/>
      </w:pPr>
      <w:r>
        <w:t>Mode d’emploi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Supprimez les rubriques sans objet ; ne masquez pas les décisions encore ouvertes.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Décrivez le besoin et les contraintes ; demandez à chaque agence de justifier sa solution.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Exigez une distinction nette entre inclus, optionnel, exclu et dépendant du client.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Joignez les annexes disponibles : contenus, accès, analytics, charte, contrats et inventaire d’URL.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RÈGLE DES CINQ CHAMPS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Pour chaque exigence critique : résultat attendu · critère d’acceptation · preuve · responsable · statut Oui, Non ou Conditionnel. Toute condition reste écrite dans le critère.</w:t>
            </w:r>
          </w:p>
        </w:tc>
      </w:tr>
    </w:tbl>
    <w:p>
      <w:pPr>
        <w:pStyle w:val="Heading2"/>
        <w:keepNext/>
      </w:pPr>
      <w:r>
        <w:t>Décision à ne pas déléguer</w:t>
      </w:r>
    </w:p>
    <w:p>
      <w:pPr>
        <w:spacing w:before="0" w:after="0" w:line="300" w:lineRule="auto"/>
      </w:pPr>
      <w:r>
        <w:rPr>
          <w:rFonts w:ascii="Calibri" w:hAnsi="Calibri"/>
          <w:b w:val="0"/>
          <w:i w:val="0"/>
          <w:color w:val="0C1A24"/>
          <w:sz w:val="20"/>
        </w:rPr>
        <w:t>L’entreprise fixe objectifs, publics, contraintes métier, responsables, enveloppe et échéances impératives. L’agence recommande architecture, parcours, méthode, socle technique, mesure et séquence de migration.</w:t>
      </w:r>
    </w:p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01 · CADRAGE</w:t>
      </w:r>
    </w:p>
    <w:p>
      <w:pPr>
        <w:pStyle w:val="Heading1"/>
        <w:keepNext/>
      </w:pPr>
      <w:r>
        <w:t>Contexte, objectifs et état de référence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C1A24"/>
          <w:sz w:val="20"/>
        </w:rPr>
        <w:t>Un progrès n’est interprétable que si la situation avant refonte est conservée avec sa méthode de mesure.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À préciser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Réponse de l’entreprise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Entreprise et offres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[Activités, marchés, langues, zones, cycle de vente, contraintes sectorielles]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Rôle du site actuel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[Génération de demandes, information, recrutement, support, portail, autre]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Raisons de la refonte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[Blocages observés, dette, évolution de marque, nouveaux besoins, échéance]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Objectif n° 1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[Résultat prioritaire + indicateur + décision associée]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Objectif n° 2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[Résultat secondaire + indicateur + décision associée]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Hors objectif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[Ce que la refonte ne cherche pas à résoudre]</w:t>
            </w:r>
          </w:p>
        </w:tc>
      </w:tr>
    </w:tbl>
    <w:p>
      <w:pPr>
        <w:pStyle w:val="Heading2"/>
        <w:keepNext/>
      </w:pPr>
      <w:r>
        <w:t>Baseline à figer avant la bascule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1700"/>
        <w:gridCol w:w="4700"/>
        <w:gridCol w:w="2960"/>
      </w:tblGrid>
      <w:tr>
        <w:trPr>
          <w:tblHeader w:val="true"/>
          <w:cantSplit/>
        </w:trPr>
        <w:tc>
          <w:tcPr>
            <w:tcW w:type="dxa" w:w="1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Dimension</w:t>
            </w:r>
          </w:p>
        </w:tc>
        <w:tc>
          <w:tcPr>
            <w:tcW w:type="dxa" w:w="4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Données à conserver</w:t>
            </w:r>
          </w:p>
        </w:tc>
        <w:tc>
          <w:tcPr>
            <w:tcW w:type="dxa" w:w="29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Limite / fenêtre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Commercial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Demandes, rendez-vous, téléchargements, qualification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[Définition · période · saisonnalité]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Contenu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URL, gabarits, preuves, dates, propriétaires, usages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[Sources manquantes]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Recherche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Pages, requêtes, clics, indexabilité, liens, sitemaps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[Agrégation · retard outils]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Qualité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Parcours, incidents, performance terrain, accessibilité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[Échantillon · appareils]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02 · UTILISATEURS ET CONTENU</w:t>
      </w:r>
    </w:p>
    <w:p>
      <w:pPr>
        <w:pStyle w:val="Heading1"/>
        <w:keepNext/>
      </w:pPr>
      <w:r>
        <w:t>Publics, parcours B2B et inventaire éditorial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À préciser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Réponse de l’entreprise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Public prioritaire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[Décideur / utilisateur / prescripteur · contexte · maturité]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Question à résoudre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[Ce que cette personne cherche à comprendre ou décider]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Preuves attendues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[Cas, chiffres, méthode, auteurs, sources, certifications, conditions]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Action suivante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[Contact, devis, rendez-vous, téléchargement, candidature, autre]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Freins connus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8"/>
              </w:rPr>
              <w:t>[Risque, budget, délai, confiance, conformité, changement interne]</w:t>
            </w:r>
          </w:p>
        </w:tc>
      </w:tr>
    </w:tbl>
    <w:p>
      <w:pPr>
        <w:pStyle w:val="Heading2"/>
        <w:keepNext/>
      </w:pPr>
      <w:r>
        <w:t>Décisions de contenu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1750"/>
        <w:gridCol w:w="900"/>
        <w:gridCol w:w="3000"/>
        <w:gridCol w:w="1850"/>
        <w:gridCol w:w="1860"/>
      </w:tblGrid>
      <w:tr>
        <w:trPr>
          <w:tblHeader w:val="true"/>
          <w:cantSplit/>
        </w:trPr>
        <w:tc>
          <w:tcPr>
            <w:tcW w:type="dxa" w:w="17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Type</w:t>
            </w:r>
          </w:p>
        </w:tc>
        <w:tc>
          <w:tcPr>
            <w:tcW w:type="dxa" w:w="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Volume</w:t>
            </w:r>
          </w:p>
        </w:tc>
        <w:tc>
          <w:tcPr>
            <w:tcW w:type="dxa" w:w="30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Décision</w:t>
            </w:r>
          </w:p>
        </w:tc>
        <w:tc>
          <w:tcPr>
            <w:tcW w:type="dxa" w:w="18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Responsable</w:t>
            </w:r>
          </w:p>
        </w:tc>
        <w:tc>
          <w:tcPr>
            <w:tcW w:type="dxa" w:w="18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Validation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Pages offres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[Conserver / réécrire / créer]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Cas et preuves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[Mettre à jour / obtenir accord]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Ressources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[Migrer / consolider / retirer]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Langues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[Traduire / adapter / supprimer]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CRITÈRE DE COMPLÉTUDE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Chaque gabarit possède un objectif, un public, des contenus obligatoires, des preuves, un appel à l’action, un propriétaire et une règle de mise à jour.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03 · PÉRIMÈTRE</w:t>
      </w:r>
    </w:p>
    <w:p>
      <w:pPr>
        <w:pStyle w:val="Heading1"/>
        <w:keepNext/>
      </w:pPr>
      <w:r>
        <w:t>Fonctions, connexions et administration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C1A24"/>
          <w:sz w:val="20"/>
        </w:rPr>
        <w:t>Décrire des scénarios et des données échangées est plus précis qu’énumérer des modules.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1700"/>
        <w:gridCol w:w="1350"/>
        <w:gridCol w:w="3050"/>
        <w:gridCol w:w="1900"/>
        <w:gridCol w:w="1360"/>
      </w:tblGrid>
      <w:tr>
        <w:trPr>
          <w:tblHeader w:val="true"/>
          <w:cantSplit/>
        </w:trPr>
        <w:tc>
          <w:tcPr>
            <w:tcW w:type="dxa" w:w="1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Scénario / fonction</w:t>
            </w:r>
          </w:p>
        </w:tc>
        <w:tc>
          <w:tcPr>
            <w:tcW w:type="dxa" w:w="13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Utilisateur</w:t>
            </w:r>
          </w:p>
        </w:tc>
        <w:tc>
          <w:tcPr>
            <w:tcW w:type="dxa" w:w="30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Résultat attendu</w:t>
            </w:r>
          </w:p>
        </w:tc>
        <w:tc>
          <w:tcPr>
            <w:tcW w:type="dxa" w:w="19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Système lié</w:t>
            </w:r>
          </w:p>
        </w:tc>
        <w:tc>
          <w:tcPr>
            <w:tcW w:type="dxa" w:w="1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Bloquant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Formulaire principal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[Création contact + confirmation + notification]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[CRM / email]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Oui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Recherche interne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[Résultats pertinents + état vide + suivi]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[Index]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Conditionnel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Téléchargement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[Accès, mesure autorisée, fichier à jour]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[DAM / stockage]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Conditionnel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Espace authentifié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[Rôles, récupération, erreurs, session]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[SSO / CRM]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Conditionnel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Autre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[Oui / Non / Conditionnel]</w:t>
            </w:r>
          </w:p>
        </w:tc>
      </w:tr>
    </w:tbl>
    <w:p>
      <w:pPr>
        <w:pStyle w:val="Heading2"/>
        <w:keepNext/>
      </w:pPr>
      <w:r>
        <w:t>Administration et réversibilité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Rôles et droits : qui crée, relit, publie, supprime et administre ?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Contenus autonomes : quels gabarits et champs doivent être modifiables sans code ?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Workflow : brouillon, prévisualisation, validation, planification, historique et restauration.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Données : formats d’import/export, sauvegardes, durée de conservation et restitution.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Comptes : domaine, hébergement, analytics, outils tiers et propriété des accès.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QUESTION OBLIGATOIRE À L’AGENCE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Quelles dépendances techniques ou commerciales subsisteraient si l’entreprise changeait de prestataire demain ?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04 · QUALITÉ</w:t>
      </w:r>
    </w:p>
    <w:p>
      <w:pPr>
        <w:pStyle w:val="Heading1"/>
        <w:keepNext/>
      </w:pPr>
      <w:r>
        <w:t>UX, accessibilité, performance, sécurité et vie privée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1750"/>
        <w:gridCol w:w="3850"/>
        <w:gridCol w:w="2400"/>
        <w:gridCol w:w="1360"/>
      </w:tblGrid>
      <w:tr>
        <w:trPr>
          <w:tblHeader w:val="true"/>
          <w:cantSplit/>
        </w:trPr>
        <w:tc>
          <w:tcPr>
            <w:tcW w:type="dxa" w:w="17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Exigence</w:t>
            </w:r>
          </w:p>
        </w:tc>
        <w:tc>
          <w:tcPr>
            <w:tcW w:type="dxa" w:w="38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Critère d’acceptation à adapter</w:t>
            </w:r>
          </w:p>
        </w:tc>
        <w:tc>
          <w:tcPr>
            <w:tcW w:type="dxa" w:w="24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Preuve</w:t>
            </w:r>
          </w:p>
        </w:tc>
        <w:tc>
          <w:tcPr>
            <w:tcW w:type="dxa" w:w="1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Responsable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Parcours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Les tâches prioritaires sont testées sur le périmètre convenu.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Scénarios, résultats, corrections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Accessibilité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Référentiel, version, niveau, échantillon et tests humains sont écrits.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Rapport + contre-vérification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Performance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Pages, appareils, conditions, métriques et seuils sont écrits.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Rapports reproductibles + terrain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Compatibilité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Navigateurs, versions et appareils supportés sont nommés.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Matrice de tests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Sécurité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Menaces, accès, mises à jour, sauvegardes et incidents sont cadrés.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Contrôles + procédure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Vie privée</w:t>
            </w:r>
          </w:p>
        </w:tc>
        <w:tc>
          <w:tcPr>
            <w:tcW w:type="dxa" w:w="3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Traceurs, finalités, consentement, retrait et conservation sont cadrés.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Inspection + registre de tests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</w:tbl>
    <w:p>
      <w:pPr>
        <w:pStyle w:val="Heading2"/>
        <w:keepNext/>
      </w:pPr>
      <w:r>
        <w:t>Anomalies bloquantes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À préciser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Réponse de l’entreprise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Vocabulaire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Oui / Non / Conditionnel — écrire toute condition dans le critère d’acceptation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Bloquant mise en ligne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[Ex. parcours principal inutilisable, faille critique, traceur non autorisé, rupture globale d’indexation]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Corrigeable après lancement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[Gravité, responsable, échéance et mesure compensatoire]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Décision de dérogation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[Qui peut accepter le risque, sur quelle preuve et jusqu’à quelle date]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RÉFÉRENTIEL À DATER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Une note Lighthouse isolée, un scan automatique ou une affirmation de conformité ne remplace pas un protocole rejouable. Pour une recette prévue en 2027, prévoir une clause de réexamen à la publication du RGAA 5 afin de décider explicitement des critères applicables.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05 · VISIBILITÉ ET MESURE</w:t>
      </w:r>
    </w:p>
    <w:p>
      <w:pPr>
        <w:pStyle w:val="Heading1"/>
        <w:keepNext/>
      </w:pPr>
      <w:r>
        <w:t>SEO, GEO, migration et analytics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1550"/>
        <w:gridCol w:w="4040"/>
        <w:gridCol w:w="2410"/>
        <w:gridCol w:w="1360"/>
      </w:tblGrid>
      <w:tr>
        <w:trPr>
          <w:tblHeader w:val="true"/>
          <w:cantSplit/>
        </w:trPr>
        <w:tc>
          <w:tcPr>
            <w:tcW w:type="dxa" w:w="15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Lot</w:t>
            </w:r>
          </w:p>
        </w:tc>
        <w:tc>
          <w:tcPr>
            <w:tcW w:type="dxa" w:w="40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Exigence minimale</w:t>
            </w:r>
          </w:p>
        </w:tc>
        <w:tc>
          <w:tcPr>
            <w:tcW w:type="dxa" w:w="241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Livrable / preuve</w:t>
            </w:r>
          </w:p>
        </w:tc>
        <w:tc>
          <w:tcPr>
            <w:tcW w:type="dxa" w:w="1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Bloquant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Inventaire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Fusionner crawl, sitemaps, analytics, outils webmasters et liens utiles.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Inventaire daté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Oui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Décisions URL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Maintien, 301/308 directe, consolidation ou 404/410 selon l’équivalence.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Matrice validée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Oui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Nouvelle structure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Canonicals, hreflang, maillage, métadonnées et sitemaps cohérents.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Crawl de recette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Oui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Citabilité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Si elle appartient au périmètre, réponses, preuves, auteurs, dates, sources et données structurées restent accessibles.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Revue page par page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Conditionnel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Robots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Moteurs et services retenus atteignent les pages finales sans blocage involontaire.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Tests HTTP et journaux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Oui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Mesure</w:t>
            </w:r>
          </w:p>
        </w:tc>
        <w:tc>
          <w:tcPr>
            <w:tcW w:type="dxa" w:w="4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Événements autorisés, paramètres, consentement et tableaux de bord sont testés.</w:t>
            </w:r>
          </w:p>
        </w:tc>
        <w:tc>
          <w:tcPr>
            <w:tcW w:type="dxa" w:w="2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Plan + journal de recette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Oui</w:t>
            </w:r>
          </w:p>
        </w:tc>
      </w:tr>
    </w:tbl>
    <w:p>
      <w:pPr>
        <w:pStyle w:val="Heading2"/>
        <w:keepNext/>
      </w:pPr>
      <w:r>
        <w:t>Suivi après bascule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1400"/>
        <w:gridCol w:w="5450"/>
        <w:gridCol w:w="2510"/>
      </w:tblGrid>
      <w:tr>
        <w:trPr>
          <w:tblHeader w:val="true"/>
          <w:cantSplit/>
        </w:trPr>
        <w:tc>
          <w:tcPr>
            <w:tcW w:type="dxa" w:w="14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Échéance</w:t>
            </w:r>
          </w:p>
        </w:tc>
        <w:tc>
          <w:tcPr>
            <w:tcW w:type="dxa" w:w="54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Contrôles</w:t>
            </w:r>
          </w:p>
        </w:tc>
        <w:tc>
          <w:tcPr>
            <w:tcW w:type="dxa" w:w="251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Décision / responsable</w:t>
            </w:r>
          </w:p>
        </w:tc>
      </w:tr>
      <w:tr>
        <w:trPr>
          <w:cantSplit/>
        </w:trP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J+1</w:t>
            </w:r>
          </w:p>
        </w:tc>
        <w:tc>
          <w:tcPr>
            <w:tcW w:type="dxa" w:w="5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HTTP, robots, noindex, canonicals, sitemap, formulaires, analytics</w:t>
            </w:r>
          </w:p>
        </w:tc>
        <w:tc>
          <w:tcPr>
            <w:tcW w:type="dxa" w:w="2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J+7</w:t>
            </w:r>
          </w:p>
        </w:tc>
        <w:tc>
          <w:tcPr>
            <w:tcW w:type="dxa" w:w="5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Exploration, erreurs, URL orphelines, conversions, incidents</w:t>
            </w:r>
          </w:p>
        </w:tc>
        <w:tc>
          <w:tcPr>
            <w:tcW w:type="dxa" w:w="2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J+30</w:t>
            </w:r>
          </w:p>
        </w:tc>
        <w:tc>
          <w:tcPr>
            <w:tcW w:type="dxa" w:w="5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Indexation, pages, requêtes, leads, qualité et visibilité IA observée</w:t>
            </w:r>
          </w:p>
        </w:tc>
        <w:tc>
          <w:tcPr>
            <w:tcW w:type="dxa" w:w="2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  <w:tr>
        <w:trPr>
          <w:cantSplit/>
        </w:trP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J+90 / 180</w:t>
            </w:r>
          </w:p>
        </w:tc>
        <w:tc>
          <w:tcPr>
            <w:tcW w:type="dxa" w:w="5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Tendance, redirections, domaine, dette restante et décisions</w:t>
            </w:r>
          </w:p>
        </w:tc>
        <w:tc>
          <w:tcPr>
            <w:tcW w:type="dxa" w:w="2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[ ]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LIMITE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Aucun prestataire ne peut garantir une position Google, une conversion ou une citation IA. Exiger les conditions maîtrisables, la mesure datée et les limites d’attribution.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06 · GOUVERNANCE ET RECETTE</w:t>
      </w:r>
    </w:p>
    <w:p>
      <w:pPr>
        <w:pStyle w:val="Heading1"/>
        <w:keepNext/>
      </w:pPr>
      <w:r>
        <w:t>Livrables, validations, propriété et après-projet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850"/>
        <w:gridCol w:w="1800"/>
        <w:gridCol w:w="1800"/>
        <w:gridCol w:w="2910"/>
      </w:tblGrid>
      <w:tr>
        <w:trPr>
          <w:tblHeader w:val="true"/>
          <w:cantSplit/>
        </w:trPr>
        <w:tc>
          <w:tcPr>
            <w:tcW w:type="dxa" w:w="28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Jalon / livrable</w:t>
            </w:r>
          </w:p>
        </w:tc>
        <w:tc>
          <w:tcPr>
            <w:tcW w:type="dxa" w:w="1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Produit par</w:t>
            </w:r>
          </w:p>
        </w:tc>
        <w:tc>
          <w:tcPr>
            <w:tcW w:type="dxa" w:w="1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Validé par</w:t>
            </w:r>
          </w:p>
        </w:tc>
        <w:tc>
          <w:tcPr>
            <w:tcW w:type="dxa" w:w="291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Critère / délai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Diagnostic et feuille de route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Architecture et contenus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Wireframes et interface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Développement et intégrations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Migration et recette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  <w:tr>
        <w:trPr>
          <w:cantSplit/>
        </w:trPr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Mise en ligne et suivi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 ]</w:t>
            </w:r>
          </w:p>
        </w:tc>
      </w:tr>
    </w:tbl>
    <w:p>
      <w:pPr>
        <w:pStyle w:val="Heading2"/>
        <w:keepNext/>
      </w:pPr>
      <w:r>
        <w:t>À écrire dans la proposition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Équipe réellement mobilisée, rôle, séniorité, sous-traitance et interlocuteur quotidien.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Disponibilité attendue du client, délais de validation et conséquence d’un retard.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Nombre de cycles inclus, gestion des demandes nouvelles et règle de chiffrage.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Propriété du code, du design, des contenus, des données, des comptes et des accès.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Documentation, formation, garantie, maintenance, niveaux de service et réversibilité.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DÉCISION DE MISE EN LIGNE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Nommer les personnes autorisées à prononcer le go/no-go, les anomalies bloquantes, les preuves exigées et la procédure de retour arrière.</w:t>
            </w:r>
          </w:p>
        </w:tc>
      </w:tr>
    </w:tbl>
    <w:p>
      <w:pPr>
        <w:spacing w:after="0"/>
      </w:pPr>
      <w:r>
        <w:br w:type="page"/>
      </w:r>
    </w:p>
    <w:p>
      <w:pPr>
        <w:spacing w:before="0" w:after="0"/>
      </w:pPr>
      <w:r>
        <w:rPr>
          <w:rFonts w:ascii="Calibri" w:hAnsi="Calibri"/>
          <w:b/>
          <w:i w:val="0"/>
          <w:color w:val="A3B74A"/>
          <w:sz w:val="18"/>
        </w:rPr>
        <w:t>07 · CONSULTATION</w:t>
      </w:r>
    </w:p>
    <w:p>
      <w:pPr>
        <w:pStyle w:val="Heading1"/>
        <w:keepNext/>
      </w:pPr>
      <w:r>
        <w:t>Budget, calendrier et réponse attendue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À préciser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7"/>
              </w:rPr>
              <w:t>Réponse de l’entreprise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Enveloppe ou fourchette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[Préciser HT/TTC, options, licences, hébergement, maintenance et réserve]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Échéance impérative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[Date, raison, marge disponible, période de moindre trafic]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Réponse attendue le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[Date, format, destinataire, soutenance éventuelle]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Hypothèses à chiffrer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7"/>
              </w:rPr>
              <w:t>[Volumes, langues, contenus, intégrations, reprise, formation]</w:t>
            </w:r>
          </w:p>
        </w:tc>
      </w:tr>
    </w:tbl>
    <w:p>
      <w:pPr>
        <w:pStyle w:val="Heading2"/>
        <w:keepNext/>
      </w:pPr>
      <w:r>
        <w:t>Trois conditions avant comparaison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9D1D6"/>
          <w:left w:val="single" w:sz="4" w:space="0" w:color="C9D1D6"/>
          <w:bottom w:val="single" w:sz="4" w:space="0" w:color="C9D1D6"/>
          <w:right w:val="single" w:sz="4" w:space="0" w:color="C9D1D6"/>
          <w:insideH w:val="single" w:sz="4" w:space="0" w:color="C9D1D6"/>
          <w:insideV w:val="single" w:sz="4" w:space="0" w:color="C9D1D6"/>
        </w:tblBorders>
      </w:tblPr>
      <w:tblGrid>
        <w:gridCol w:w="2700"/>
        <w:gridCol w:w="4840"/>
        <w:gridCol w:w="1820"/>
      </w:tblGrid>
      <w:tr>
        <w:trPr>
          <w:tblHeader w:val="true"/>
          <w:cantSplit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Condition</w:t>
            </w:r>
          </w:p>
        </w:tc>
        <w:tc>
          <w:tcPr>
            <w:tcW w:type="dxa" w:w="484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Réponse minimale</w:t>
            </w:r>
          </w:p>
        </w:tc>
        <w:tc>
          <w:tcPr>
            <w:tcW w:type="dxa" w:w="182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/>
                <w:i w:val="0"/>
                <w:color w:val="0C1A24"/>
                <w:sz w:val="16"/>
              </w:rPr>
              <w:t>Statut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Propriété et réversibilité</w:t>
            </w:r>
          </w:p>
        </w:tc>
        <w:tc>
          <w:tcPr>
            <w:tcW w:type="dxa" w:w="4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Code, contenus, domaine, comptes, données, accès et restitution sont explicites.</w:t>
            </w:r>
          </w:p>
        </w:tc>
        <w:tc>
          <w:tcPr>
            <w:tcW w:type="dxa" w:w="18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☐ conforme ☐ arrêt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Recette et migration</w:t>
            </w:r>
          </w:p>
        </w:tc>
        <w:tc>
          <w:tcPr>
            <w:tcW w:type="dxa" w:w="4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Critères, responsabilités, matrice, environnement, corrections et go/no-go sont explicites.</w:t>
            </w:r>
          </w:p>
        </w:tc>
        <w:tc>
          <w:tcPr>
            <w:tcW w:type="dxa" w:w="18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☐ conforme ☐ arrêt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Périmètre et responsabilités</w:t>
            </w:r>
          </w:p>
        </w:tc>
        <w:tc>
          <w:tcPr>
            <w:tcW w:type="dxa" w:w="4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Livrables, acteurs, dépendances, exclusions, options et changements sont explicites.</w:t>
            </w:r>
          </w:p>
        </w:tc>
        <w:tc>
          <w:tcPr>
            <w:tcW w:type="dxa" w:w="18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16"/>
              </w:rPr>
              <w:t>☐ conforme ☐ arrêt</w:t>
            </w:r>
          </w:p>
        </w:tc>
      </w:tr>
    </w:tbl>
    <w:p>
      <w:pPr>
        <w:pStyle w:val="Heading2"/>
        <w:keepNext/>
      </w:pPr>
      <w:r>
        <w:t>Contrôle final avant envoi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☐ Les objectifs sont hiérarchisés et reliés à une baseline.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☐ Les publics, parcours, contenus, fonctions et intégrations sont identifiables.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☐ Chaque exigence critique possède acceptation, preuve, responsable et statut bloquant.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☐ La propriété, la maintenance, la réversibilité et les dépendances sont demandées.</w:t>
      </w:r>
    </w:p>
    <w:p>
      <w:pPr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C1A24"/>
          <w:sz w:val="22"/>
        </w:rPr>
        <w:t>☐ Les questions ouvertes restent visibles ; aucune solution n’est imposée sans raison.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CE2D4"/>
          <w:left w:val="single" w:sz="5" w:space="0" w:color="DCE2D4"/>
          <w:bottom w:val="single" w:sz="5" w:space="0" w:color="DCE2D4"/>
          <w:right w:val="single" w:sz="5" w:space="0" w:color="DCE2D4"/>
          <w:insideH w:val="single" w:sz="5" w:space="0" w:color="DCE2D4"/>
          <w:insideV w:val="single" w:sz="5" w:space="0" w:color="DCE2D4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3B74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C1A24"/>
                <w:sz w:val="18"/>
              </w:rPr>
              <w:t>LICENCE ET LIMITE</w:t>
            </w:r>
          </w:p>
        </w:tc>
      </w:tr>
      <w:tr>
        <w:trPr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8F4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0C1A24"/>
                <w:sz w:val="21"/>
              </w:rPr>
              <w:t>Modèle Edikka sous licence Creative Commons Attribution 4.0 International : adaptation et redistribution autorisées avec crédit Edikka et lien vers la page canonique. Ce document n’est ni un contrat ni une garantie de résultat. Licence : creativecommons.org/licenses/by/4.0/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</w:pPr>
    <w:r/>
    <w:r>
      <w:rPr>
        <w:rFonts w:ascii="Calibri" w:hAnsi="Calibri"/>
        <w:b w:val="0"/>
        <w:i w:val="0"/>
        <w:color w:val="5A6670"/>
        <w:sz w:val="14"/>
      </w:rPr>
      <w:t>CC BY 4.0 · edikka.com/insights/strategie-digitale/cahier-des-charges-refonte-site-internet</w:t>
    </w:r>
  </w:p>
  <w:p>
    <w:pPr>
      <w:spacing w:before="0" w:after="0"/>
      <w:jc w:val="right"/>
    </w:pPr>
    <w:r>
      <w:rPr>
        <w:rFonts w:ascii="Calibri" w:hAnsi="Calibri"/>
        <w:b/>
        <w:i w:val="0"/>
        <w:color w:val="5A6670"/>
        <w:sz w:val="17"/>
      </w:rPr>
      <w:t xml:space="preserve">EDIKKA · </w:t>
    </w:r>
    <w:fldSimple w:instr="PAGE">
      <w:r>
        <w:rPr>
          <w:color w:val="5A6670"/>
          <w:sz w:val="17"/>
        </w:rPr>
        <w:t>1</w:t>
      </w:r>
    </w:fldSimple>
    <w:r>
      <w:rPr>
        <w:rFonts w:ascii="Calibri" w:hAnsi="Calibri"/>
        <w:b w:val="0"/>
        <w:i w:val="0"/>
        <w:color w:val="5A6670"/>
        <w:sz w:val="17"/>
      </w:rPr>
      <w:t xml:space="preserve"> / 8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before="0" w:after="80"/>
      <w:pBdr>
        <w:bottom w:val="single" w:sz="6" w:space="4" w:color="D7DBE2"/>
      </w:pBdr>
    </w:pPr>
    <w:r/>
    <w:r>
      <w:rPr>
        <w:rFonts w:ascii="Calibri" w:hAnsi="Calibri"/>
        <w:b/>
        <w:i w:val="0"/>
        <w:color w:val="5A6670"/>
        <w:sz w:val="17"/>
      </w:rPr>
      <w:t>EDIKKA · CAHIER DES CHARGES</w:t>
    </w:r>
    <w:r>
      <w:rPr>
        <w:rFonts w:ascii="Calibri" w:hAnsi="Calibri"/>
        <w:b w:val="0"/>
        <w:i w:val="0"/>
        <w:color w:val="5A6670"/>
        <w:sz w:val="17"/>
      </w:rPr>
      <w:tab/>
      <w:t>REFONTE DE SITE B2B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  <w:jc w:val="left"/>
    </w:pPr>
    <w:rPr>
      <w:rFonts w:ascii="Calibri" w:hAnsi="Calibri"/>
      <w:b w:val="0"/>
      <w:color w:val="0C1A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0C1A2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0C1A2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64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243B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C1A2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360" w:line="276" w:lineRule="auto"/>
    </w:pPr>
    <w:rPr>
      <w:rFonts w:asciiTheme="majorHAnsi" w:eastAsiaTheme="majorEastAsia" w:hAnsiTheme="majorHAnsi" w:cstheme="majorBidi" w:ascii="Calibri" w:hAnsi="Calibri"/>
      <w:b w:val="0"/>
      <w:i/>
      <w:iCs/>
      <w:color w:val="5A6670"/>
      <w:spacing w:val="15"/>
      <w:sz w:val="27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de refonte de site B2B</dc:title>
  <dc:subject>Modèle opérationnel avec critères d’acceptation</dc:subject>
  <dc:creator>Edikka</dc:creator>
  <cp:keywords>refonte B2B, cahier des charges, recette, migration SEO, Edikka</cp:keywords>
  <dc:description>Version 1.2 — 11 août 2026 — CC BY 4.0</dc:description>
  <cp:lastModifiedBy>Edikka</cp:lastModifiedBy>
  <cp:revision>1</cp:revision>
  <dcterms:created xsi:type="dcterms:W3CDTF">2026-08-11T12:00:00Z</dcterms:created>
  <dcterms:modified xsi:type="dcterms:W3CDTF">2026-08-11T12:00:00Z</dcterms:modified>
  <cp:category>Modèle public Edikka</cp:category>
</cp:coreProperties>
</file>