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OPERATIONAL TEMPLATE · VERSION 1.2 · 11 AUGUST 2026</w:t>
      </w:r>
    </w:p>
    <w:p>
      <w:pPr>
        <w:pStyle w:val="Title"/>
      </w:pPr>
      <w:r>
        <w:t>B2B website</w:t>
        <w:br/>
        <w:t>redesign brief</w:t>
      </w:r>
    </w:p>
    <w:p>
      <w:pPr>
        <w:pStyle w:val="Subtitle"/>
      </w:pPr>
      <w:r>
        <w:t>Eight pages to make scope, proposals and acceptance comparable.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2340"/>
        <w:gridCol w:w="2340"/>
        <w:gridCol w:w="2340"/>
        <w:gridCol w:w="2340"/>
      </w:tblGrid>
      <w:tr>
        <w:trPr>
          <w:tblHeader w:val="true"/>
          <w:cantSplit/>
        </w:trPr>
        <w:tc>
          <w:tcPr>
            <w:tcW w:type="dxa" w:w="23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Organisation</w:t>
            </w:r>
          </w:p>
        </w:tc>
        <w:tc>
          <w:tcPr>
            <w:tcW w:type="dxa" w:w="23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Project</w:t>
            </w:r>
          </w:p>
        </w:tc>
        <w:tc>
          <w:tcPr>
            <w:tcW w:type="dxa" w:w="23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Owner</w:t>
            </w:r>
          </w:p>
        </w:tc>
        <w:tc>
          <w:tcPr>
            <w:tcW w:type="dxa" w:w="23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Target version</w:t>
            </w:r>
          </w:p>
        </w:tc>
      </w:tr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[To complete]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[To complete]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[Name · role · email]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[Date / milestone]</w:t>
            </w:r>
          </w:p>
        </w:tc>
      </w:tr>
    </w:tbl>
    <w:p>
      <w:pPr>
        <w:pStyle w:val="Heading1"/>
        <w:keepNext/>
      </w:pPr>
      <w:r>
        <w:t>How to use this template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Delete irrelevant sections; do not hide decisions that remain open.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Describe the need and constraints; ask each agency to justify its proposed solution.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Require a clear distinction between included, optional, excluded and client-dependent work.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Attach available evidence: content, access, analytics, brand assets, contracts and URL inventory.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CE2D4"/>
          <w:left w:val="single" w:sz="5" w:space="0" w:color="DCE2D4"/>
          <w:bottom w:val="single" w:sz="5" w:space="0" w:color="DCE2D4"/>
          <w:right w:val="single" w:sz="5" w:space="0" w:color="DCE2D4"/>
          <w:insideH w:val="single" w:sz="5" w:space="0" w:color="DCE2D4"/>
          <w:insideV w:val="single" w:sz="5" w:space="0" w:color="DCE2D4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3B74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THE FIVE-FIELD RULE</w:t>
            </w:r>
          </w:p>
        </w:tc>
      </w:tr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8F4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21"/>
              </w:rPr>
              <w:t>For every critical requirement: expected outcome · acceptance criterion · evidence · owner · status: Yes, No or Conditional. Write every condition in the criterion.</w:t>
            </w:r>
          </w:p>
        </w:tc>
      </w:tr>
    </w:tbl>
    <w:p>
      <w:pPr>
        <w:pStyle w:val="Heading2"/>
        <w:keepNext/>
      </w:pPr>
      <w:r>
        <w:t>Decision not to delegate</w:t>
      </w:r>
    </w:p>
    <w:p>
      <w:pPr>
        <w:spacing w:before="0" w:after="0" w:line="300" w:lineRule="auto"/>
      </w:pPr>
      <w:r>
        <w:rPr>
          <w:rFonts w:ascii="Calibri" w:hAnsi="Calibri"/>
          <w:b w:val="0"/>
          <w:i w:val="0"/>
          <w:color w:val="0C1A24"/>
          <w:sz w:val="20"/>
        </w:rPr>
        <w:t>The organisation sets objectives, audiences, business constraints, owners, budget envelope and fixed deadlines. The agency recommends architecture, journeys, method, technical foundation, measurement and migration sequence.</w:t>
      </w:r>
    </w:p>
    <w:p>
      <w:pPr>
        <w:spacing w:after="0"/>
      </w:pPr>
      <w:r>
        <w:br w:type="page"/>
      </w:r>
    </w:p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01 · FRAMING</w:t>
      </w:r>
    </w:p>
    <w:p>
      <w:pPr>
        <w:pStyle w:val="Heading1"/>
        <w:keepNext/>
      </w:pPr>
      <w:r>
        <w:t>Context, objectives and baseline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C1A24"/>
          <w:sz w:val="20"/>
        </w:rPr>
        <w:t>Progress is interpretable only when the pre-redesign state and its measurement method are preserved.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Define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Organisation response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Organisation and offers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[Activities, markets, languages, regions, sales cycle, sector constraints]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Role of the current website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[Lead generation, information, recruitment, support, portal, other]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Reasons for the redesign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[Observed obstacles, debt, brand change, new needs, deadline]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Primary objective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[Priority outcome + indicator + associated decision]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Secondary objective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[Secondary outcome + indicator + associated decision]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Out of scope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[What the redesign is not intended to solve]</w:t>
            </w:r>
          </w:p>
        </w:tc>
      </w:tr>
    </w:tbl>
    <w:p>
      <w:pPr>
        <w:pStyle w:val="Heading2"/>
        <w:keepNext/>
      </w:pPr>
      <w:r>
        <w:t>Baseline to freeze before launch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1700"/>
        <w:gridCol w:w="4700"/>
        <w:gridCol w:w="2960"/>
      </w:tblGrid>
      <w:tr>
        <w:trPr>
          <w:tblHeader w:val="true"/>
          <w:cantSplit/>
        </w:trPr>
        <w:tc>
          <w:tcPr>
            <w:tcW w:type="dxa" w:w="1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Dimension</w:t>
            </w:r>
          </w:p>
        </w:tc>
        <w:tc>
          <w:tcPr>
            <w:tcW w:type="dxa" w:w="4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Data to preserve</w:t>
            </w:r>
          </w:p>
        </w:tc>
        <w:tc>
          <w:tcPr>
            <w:tcW w:type="dxa" w:w="29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Limit / window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Commercial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Enquiries, meetings, downloads, qualification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[Definition · period · seasonality]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Content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URLs, templates, evidence, dates, owners, usage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[Missing sources]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Search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Pages, queries, clicks, indexability, links, sitemaps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[Aggregation · reporting lag]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Quality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Journeys, incidents, field performance, accessibility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[Sample · devices]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02 · USERS AND CONTENT</w:t>
      </w:r>
    </w:p>
    <w:p>
      <w:pPr>
        <w:pStyle w:val="Heading1"/>
        <w:keepNext/>
      </w:pPr>
      <w:r>
        <w:t>Audiences, B2B journeys and content inventory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Define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Organisation response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Priority audience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[Decision-maker / user / influencer · context · maturity]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Question to resolve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[What this person needs to understand or decide]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Evidence required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[Cases, figures, method, authors, sources, certifications, conditions]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Next action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[Contact, proposal, meeting, download, application, other]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Known barriers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[Risk, budget, timing, trust, compliance, internal change]</w:t>
            </w:r>
          </w:p>
        </w:tc>
      </w:tr>
    </w:tbl>
    <w:p>
      <w:pPr>
        <w:pStyle w:val="Heading2"/>
        <w:keepNext/>
      </w:pPr>
      <w:r>
        <w:t>Content decisions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1750"/>
        <w:gridCol w:w="900"/>
        <w:gridCol w:w="3000"/>
        <w:gridCol w:w="1850"/>
        <w:gridCol w:w="1860"/>
      </w:tblGrid>
      <w:tr>
        <w:trPr>
          <w:tblHeader w:val="true"/>
          <w:cantSplit/>
        </w:trPr>
        <w:tc>
          <w:tcPr>
            <w:tcW w:type="dxa" w:w="17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Type</w:t>
            </w:r>
          </w:p>
        </w:tc>
        <w:tc>
          <w:tcPr>
            <w:tcW w:type="dxa" w:w="9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Volume</w:t>
            </w:r>
          </w:p>
        </w:tc>
        <w:tc>
          <w:tcPr>
            <w:tcW w:type="dxa" w:w="30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Decision</w:t>
            </w:r>
          </w:p>
        </w:tc>
        <w:tc>
          <w:tcPr>
            <w:tcW w:type="dxa" w:w="18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Owner</w:t>
            </w:r>
          </w:p>
        </w:tc>
        <w:tc>
          <w:tcPr>
            <w:tcW w:type="dxa" w:w="18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Approval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Offer pages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[Keep / rewrite / create]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Cases and evidence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[Update / obtain approval]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Resources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[Migrate / consolidate / retire]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Languages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[Translate / adapt / remove]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CE2D4"/>
          <w:left w:val="single" w:sz="5" w:space="0" w:color="DCE2D4"/>
          <w:bottom w:val="single" w:sz="5" w:space="0" w:color="DCE2D4"/>
          <w:right w:val="single" w:sz="5" w:space="0" w:color="DCE2D4"/>
          <w:insideH w:val="single" w:sz="5" w:space="0" w:color="DCE2D4"/>
          <w:insideV w:val="single" w:sz="5" w:space="0" w:color="DCE2D4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3B74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COMPLETENESS CRITERION</w:t>
            </w:r>
          </w:p>
        </w:tc>
      </w:tr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8F4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21"/>
              </w:rPr>
              <w:t>Each template has an objective, audience, required content, evidence, call to action, owner and update rule.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03 · SCOPE</w:t>
      </w:r>
    </w:p>
    <w:p>
      <w:pPr>
        <w:pStyle w:val="Heading1"/>
        <w:keepNext/>
      </w:pPr>
      <w:r>
        <w:t>Functions, integrations and administration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C1A24"/>
          <w:sz w:val="20"/>
        </w:rPr>
        <w:t>Describing scenarios and exchanged data is more precise than listing modules.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1700"/>
        <w:gridCol w:w="1350"/>
        <w:gridCol w:w="3050"/>
        <w:gridCol w:w="1900"/>
        <w:gridCol w:w="1360"/>
      </w:tblGrid>
      <w:tr>
        <w:trPr>
          <w:tblHeader w:val="true"/>
          <w:cantSplit/>
        </w:trPr>
        <w:tc>
          <w:tcPr>
            <w:tcW w:type="dxa" w:w="1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Scenario / function</w:t>
            </w:r>
          </w:p>
        </w:tc>
        <w:tc>
          <w:tcPr>
            <w:tcW w:type="dxa" w:w="13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User</w:t>
            </w:r>
          </w:p>
        </w:tc>
        <w:tc>
          <w:tcPr>
            <w:tcW w:type="dxa" w:w="30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Expected outcome</w:t>
            </w:r>
          </w:p>
        </w:tc>
        <w:tc>
          <w:tcPr>
            <w:tcW w:type="dxa" w:w="19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Connected system</w:t>
            </w:r>
          </w:p>
        </w:tc>
        <w:tc>
          <w:tcPr>
            <w:tcW w:type="dxa" w:w="1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Blocking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Primary form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[Contact created + confirmation + notification]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[CRM / email]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Yes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Internal search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[Relevant results + empty state + tracking]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[Index]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Conditional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Download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[Access, permitted measurement, current file]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[DAM / storage]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Conditional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Authenticated area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[Roles, recovery, errors, session]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[SSO / CRM]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Conditional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Other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[Yes / No / Conditional]</w:t>
            </w:r>
          </w:p>
        </w:tc>
      </w:tr>
    </w:tbl>
    <w:p>
      <w:pPr>
        <w:pStyle w:val="Heading2"/>
        <w:keepNext/>
      </w:pPr>
      <w:r>
        <w:t>Administration and reversibility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Roles and permissions: who creates, reviews, publishes, deletes and administers?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Content autonomy: which templates and fields must be editable without code?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Workflow: draft, preview, approval, scheduling, history and restoration.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Data: import/export formats, backups, retention and return procedures.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Accounts: domain, hosting, analytics, third-party tools and access ownership.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CE2D4"/>
          <w:left w:val="single" w:sz="5" w:space="0" w:color="DCE2D4"/>
          <w:bottom w:val="single" w:sz="5" w:space="0" w:color="DCE2D4"/>
          <w:right w:val="single" w:sz="5" w:space="0" w:color="DCE2D4"/>
          <w:insideH w:val="single" w:sz="5" w:space="0" w:color="DCE2D4"/>
          <w:insideV w:val="single" w:sz="5" w:space="0" w:color="DCE2D4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3B74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MANDATORY QUESTION FOR THE AGENCY</w:t>
            </w:r>
          </w:p>
        </w:tc>
      </w:tr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8F4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21"/>
              </w:rPr>
              <w:t>Which technical or commercial dependencies would remain if the organisation changed provider tomorrow?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04 · QUALITY</w:t>
      </w:r>
    </w:p>
    <w:p>
      <w:pPr>
        <w:pStyle w:val="Heading1"/>
        <w:keepNext/>
      </w:pPr>
      <w:r>
        <w:t>UX, accessibility, performance, security and privacy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1750"/>
        <w:gridCol w:w="3850"/>
        <w:gridCol w:w="2400"/>
        <w:gridCol w:w="1360"/>
      </w:tblGrid>
      <w:tr>
        <w:trPr>
          <w:tblHeader w:val="true"/>
          <w:cantSplit/>
        </w:trPr>
        <w:tc>
          <w:tcPr>
            <w:tcW w:type="dxa" w:w="17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Requirement</w:t>
            </w:r>
          </w:p>
        </w:tc>
        <w:tc>
          <w:tcPr>
            <w:tcW w:type="dxa" w:w="38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Acceptance criterion to adapt</w:t>
            </w:r>
          </w:p>
        </w:tc>
        <w:tc>
          <w:tcPr>
            <w:tcW w:type="dxa" w:w="24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Evidence</w:t>
            </w:r>
          </w:p>
        </w:tc>
        <w:tc>
          <w:tcPr>
            <w:tcW w:type="dxa" w:w="1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Owner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Journeys</w:t>
            </w:r>
          </w:p>
        </w:tc>
        <w:tc>
          <w:tcPr>
            <w:tcW w:type="dxa" w:w="3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Priority tasks are tested across the agreed scope.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Scenarios, results, corrections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Accessibility</w:t>
            </w:r>
          </w:p>
        </w:tc>
        <w:tc>
          <w:tcPr>
            <w:tcW w:type="dxa" w:w="3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WCAG 2.2 or the agreed standard, version, target, sample and human tests are stated.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Report + independent retest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Performance</w:t>
            </w:r>
          </w:p>
        </w:tc>
        <w:tc>
          <w:tcPr>
            <w:tcW w:type="dxa" w:w="3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Pages, devices, conditions, metrics and thresholds are stated.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Reproducible reports + field data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Compatibility</w:t>
            </w:r>
          </w:p>
        </w:tc>
        <w:tc>
          <w:tcPr>
            <w:tcW w:type="dxa" w:w="3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Supported browsers, versions and devices are named.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Test matrix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Security</w:t>
            </w:r>
          </w:p>
        </w:tc>
        <w:tc>
          <w:tcPr>
            <w:tcW w:type="dxa" w:w="3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Threats, access, updates, backups and incidents are framed.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Controls + procedure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Privacy</w:t>
            </w:r>
          </w:p>
        </w:tc>
        <w:tc>
          <w:tcPr>
            <w:tcW w:type="dxa" w:w="3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Trackers, purposes, consent, withdrawal and retention are framed.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Inspection + test register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</w:tbl>
    <w:p>
      <w:pPr>
        <w:pStyle w:val="Heading2"/>
        <w:keepNext/>
      </w:pPr>
      <w:r>
        <w:t>Launch-blocking defects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Define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Organisation response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Vocabulary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Yes / No / Conditional — write every condition in the acceptance criterion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Blocks launch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[E.g. unusable primary journey, critical vulnerability, unauthorised tracker, site-wide indexation failure]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May be corrected after launch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[Severity, owner, deadline and compensating measure]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Exception decision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[Who may accept the risk, on what evidence and until what date]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CE2D4"/>
          <w:left w:val="single" w:sz="5" w:space="0" w:color="DCE2D4"/>
          <w:bottom w:val="single" w:sz="5" w:space="0" w:color="DCE2D4"/>
          <w:right w:val="single" w:sz="5" w:space="0" w:color="DCE2D4"/>
          <w:insideH w:val="single" w:sz="5" w:space="0" w:color="DCE2D4"/>
          <w:insideV w:val="single" w:sz="5" w:space="0" w:color="DCE2D4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3B74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DATE THE STANDARD</w:t>
            </w:r>
          </w:p>
        </w:tc>
      </w:tr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8F4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21"/>
              </w:rPr>
              <w:t>A Lighthouse score, automated scan or compliance claim does not replace a reproducible protocol. For acceptance planned in France in 2027, include a review clause when RGAA 5 is published so the applicable criteria are decided explicitly.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05 · VISIBILITY AND MEASUREMENT</w:t>
      </w:r>
    </w:p>
    <w:p>
      <w:pPr>
        <w:pStyle w:val="Heading1"/>
        <w:keepNext/>
      </w:pPr>
      <w:r>
        <w:t>SEO, AI visibility, migration and analytics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1550"/>
        <w:gridCol w:w="4040"/>
        <w:gridCol w:w="2410"/>
        <w:gridCol w:w="1360"/>
      </w:tblGrid>
      <w:tr>
        <w:trPr>
          <w:tblHeader w:val="true"/>
          <w:cantSplit/>
        </w:trPr>
        <w:tc>
          <w:tcPr>
            <w:tcW w:type="dxa" w:w="15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Workstream</w:t>
            </w:r>
          </w:p>
        </w:tc>
        <w:tc>
          <w:tcPr>
            <w:tcW w:type="dxa" w:w="40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Minimum requirement</w:t>
            </w:r>
          </w:p>
        </w:tc>
        <w:tc>
          <w:tcPr>
            <w:tcW w:type="dxa" w:w="241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Deliverable / evidence</w:t>
            </w:r>
          </w:p>
        </w:tc>
        <w:tc>
          <w:tcPr>
            <w:tcW w:type="dxa" w:w="1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Blocking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Inventory</w:t>
            </w:r>
          </w:p>
        </w:tc>
        <w:tc>
          <w:tcPr>
            <w:tcW w:type="dxa" w:w="4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Combine crawls, sitemaps, analytics, webmaster tools and useful links.</w:t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Dated inventory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Yes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URL decisions</w:t>
            </w:r>
          </w:p>
        </w:tc>
        <w:tc>
          <w:tcPr>
            <w:tcW w:type="dxa" w:w="4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Keep, direct 301/308, consolidate or return 404/410 according to equivalence.</w:t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Approved matrix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Yes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New structure</w:t>
            </w:r>
          </w:p>
        </w:tc>
        <w:tc>
          <w:tcPr>
            <w:tcW w:type="dxa" w:w="4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Canonicals, hreflang, internal links, metadata and sitemaps are coherent.</w:t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Acceptance crawl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Yes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Citability</w:t>
            </w:r>
          </w:p>
        </w:tc>
        <w:tc>
          <w:tcPr>
            <w:tcW w:type="dxa" w:w="4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When in scope, answers, evidence, authors, dates, sources and structured data remain accessible.</w:t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Page-by-page review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Conditional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Crawlers</w:t>
            </w:r>
          </w:p>
        </w:tc>
        <w:tc>
          <w:tcPr>
            <w:tcW w:type="dxa" w:w="4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Selected engines and services reach final pages without accidental blocking.</w:t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HTTP tests and logs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Yes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Measurement</w:t>
            </w:r>
          </w:p>
        </w:tc>
        <w:tc>
          <w:tcPr>
            <w:tcW w:type="dxa" w:w="4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Permitted events, parameters, consent and dashboards are tested.</w:t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Plan + acceptance log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Yes</w:t>
            </w:r>
          </w:p>
        </w:tc>
      </w:tr>
    </w:tbl>
    <w:p>
      <w:pPr>
        <w:pStyle w:val="Heading2"/>
        <w:keepNext/>
      </w:pPr>
      <w:r>
        <w:t>Post-launch monitoring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1400"/>
        <w:gridCol w:w="5450"/>
        <w:gridCol w:w="2510"/>
      </w:tblGrid>
      <w:tr>
        <w:trPr>
          <w:tblHeader w:val="true"/>
          <w:cantSplit/>
        </w:trPr>
        <w:tc>
          <w:tcPr>
            <w:tcW w:type="dxa" w:w="14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Milestone</w:t>
            </w:r>
          </w:p>
        </w:tc>
        <w:tc>
          <w:tcPr>
            <w:tcW w:type="dxa" w:w="54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Checks</w:t>
            </w:r>
          </w:p>
        </w:tc>
        <w:tc>
          <w:tcPr>
            <w:tcW w:type="dxa" w:w="251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Decision / owner</w:t>
            </w:r>
          </w:p>
        </w:tc>
      </w:tr>
      <w:tr>
        <w:trPr>
          <w:cantSplit/>
        </w:trPr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D+1</w:t>
            </w:r>
          </w:p>
        </w:tc>
        <w:tc>
          <w:tcPr>
            <w:tcW w:type="dxa" w:w="5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HTTP, robots, noindex, canonicals, sitemap, forms, analytics</w:t>
            </w:r>
          </w:p>
        </w:tc>
        <w:tc>
          <w:tcPr>
            <w:tcW w:type="dxa" w:w="2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D+7</w:t>
            </w:r>
          </w:p>
        </w:tc>
        <w:tc>
          <w:tcPr>
            <w:tcW w:type="dxa" w:w="5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Crawling, errors, orphan URLs, conversions, incidents</w:t>
            </w:r>
          </w:p>
        </w:tc>
        <w:tc>
          <w:tcPr>
            <w:tcW w:type="dxa" w:w="2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D+30</w:t>
            </w:r>
          </w:p>
        </w:tc>
        <w:tc>
          <w:tcPr>
            <w:tcW w:type="dxa" w:w="5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Indexation, pages, queries, leads, quality and observed AI visibility</w:t>
            </w:r>
          </w:p>
        </w:tc>
        <w:tc>
          <w:tcPr>
            <w:tcW w:type="dxa" w:w="2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D+90 / 180</w:t>
            </w:r>
          </w:p>
        </w:tc>
        <w:tc>
          <w:tcPr>
            <w:tcW w:type="dxa" w:w="5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Trend, redirects, domain, remaining debt and decisions</w:t>
            </w:r>
          </w:p>
        </w:tc>
        <w:tc>
          <w:tcPr>
            <w:tcW w:type="dxa" w:w="2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CE2D4"/>
          <w:left w:val="single" w:sz="5" w:space="0" w:color="DCE2D4"/>
          <w:bottom w:val="single" w:sz="5" w:space="0" w:color="DCE2D4"/>
          <w:right w:val="single" w:sz="5" w:space="0" w:color="DCE2D4"/>
          <w:insideH w:val="single" w:sz="5" w:space="0" w:color="DCE2D4"/>
          <w:insideV w:val="single" w:sz="5" w:space="0" w:color="DCE2D4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3B74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LIMIT</w:t>
            </w:r>
          </w:p>
        </w:tc>
      </w:tr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8F4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21"/>
              </w:rPr>
              <w:t>No provider can guarantee a Google position, conversion or AI citation. Require controllable conditions, dated measurement and attribution limits.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06 · GOVERNANCE AND ACCEPTANCE</w:t>
      </w:r>
    </w:p>
    <w:p>
      <w:pPr>
        <w:pStyle w:val="Heading1"/>
        <w:keepNext/>
      </w:pPr>
      <w:r>
        <w:t>Deliverables, approvals, ownership and handover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2850"/>
        <w:gridCol w:w="1800"/>
        <w:gridCol w:w="1800"/>
        <w:gridCol w:w="2910"/>
      </w:tblGrid>
      <w:tr>
        <w:trPr>
          <w:tblHeader w:val="true"/>
          <w:cantSplit/>
        </w:trPr>
        <w:tc>
          <w:tcPr>
            <w:tcW w:type="dxa" w:w="28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Milestone / deliverable</w:t>
            </w:r>
          </w:p>
        </w:tc>
        <w:tc>
          <w:tcPr>
            <w:tcW w:type="dxa" w:w="18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Produced by</w:t>
            </w:r>
          </w:p>
        </w:tc>
        <w:tc>
          <w:tcPr>
            <w:tcW w:type="dxa" w:w="18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Approved by</w:t>
            </w:r>
          </w:p>
        </w:tc>
        <w:tc>
          <w:tcPr>
            <w:tcW w:type="dxa" w:w="291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Criterion / deadline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Diagnosis and roadmap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Architecture and content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Wireframes and interface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Development and integrations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Migration and acceptance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Launch and monitoring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</w:tbl>
    <w:p>
      <w:pPr>
        <w:pStyle w:val="Heading2"/>
        <w:keepNext/>
      </w:pPr>
      <w:r>
        <w:t>State in the proposal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People actually assigned, roles, seniority, subcontracting and daily contact.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Expected client availability, approval deadlines and consequences of delay.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Included review cycles, treatment of new requests and pricing rule.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Ownership of code, design, content, data, accounts and access.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Documentation, training, warranty, maintenance, service levels and reversibility.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CE2D4"/>
          <w:left w:val="single" w:sz="5" w:space="0" w:color="DCE2D4"/>
          <w:bottom w:val="single" w:sz="5" w:space="0" w:color="DCE2D4"/>
          <w:right w:val="single" w:sz="5" w:space="0" w:color="DCE2D4"/>
          <w:insideH w:val="single" w:sz="5" w:space="0" w:color="DCE2D4"/>
          <w:insideV w:val="single" w:sz="5" w:space="0" w:color="DCE2D4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3B74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LAUNCH DECISION</w:t>
            </w:r>
          </w:p>
        </w:tc>
      </w:tr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8F4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21"/>
              </w:rPr>
              <w:t>Name who may issue go/no-go, launch-blocking defects, required evidence and rollback procedure.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07 · PROCUREMENT</w:t>
      </w:r>
    </w:p>
    <w:p>
      <w:pPr>
        <w:pStyle w:val="Heading1"/>
        <w:keepNext/>
      </w:pPr>
      <w:r>
        <w:t>Budget, schedule and expected response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Define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Organisation response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Budget or range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[Taxes, options, licences, hosting, maintenance, contingency]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Fixed deadline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[Date, reason, available margin, lower-traffic period]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Response due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[Date, format, recipient, possible presentation]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Assumptions to price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[Volumes, languages, content, integrations, migration, training]</w:t>
            </w:r>
          </w:p>
        </w:tc>
      </w:tr>
    </w:tbl>
    <w:p>
      <w:pPr>
        <w:pStyle w:val="Heading2"/>
        <w:keepNext/>
      </w:pPr>
      <w:r>
        <w:t>Three gates before comparison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2700"/>
        <w:gridCol w:w="4840"/>
        <w:gridCol w:w="1820"/>
      </w:tblGrid>
      <w:tr>
        <w:trPr>
          <w:tblHeader w:val="true"/>
          <w:cantSplit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Gate</w:t>
            </w:r>
          </w:p>
        </w:tc>
        <w:tc>
          <w:tcPr>
            <w:tcW w:type="dxa" w:w="48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Minimum response</w:t>
            </w:r>
          </w:p>
        </w:tc>
        <w:tc>
          <w:tcPr>
            <w:tcW w:type="dxa" w:w="182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Status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Ownership and reversibility</w:t>
            </w:r>
          </w:p>
        </w:tc>
        <w:tc>
          <w:tcPr>
            <w:tcW w:type="dxa" w:w="4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Code, content, domain, accounts, data, access and return are explicit.</w:t>
            </w:r>
          </w:p>
        </w:tc>
        <w:tc>
          <w:tcPr>
            <w:tcW w:type="dxa" w:w="18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☐ pass ☐ stop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Acceptance and migration</w:t>
            </w:r>
          </w:p>
        </w:tc>
        <w:tc>
          <w:tcPr>
            <w:tcW w:type="dxa" w:w="4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Criteria, roles, matrix, environment, corrections and go/no-go are explicit.</w:t>
            </w:r>
          </w:p>
        </w:tc>
        <w:tc>
          <w:tcPr>
            <w:tcW w:type="dxa" w:w="18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☐ pass ☐ stop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Scope and responsibilities</w:t>
            </w:r>
          </w:p>
        </w:tc>
        <w:tc>
          <w:tcPr>
            <w:tcW w:type="dxa" w:w="4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Deliverables, actors, dependencies, exclusions, options and changes are explicit.</w:t>
            </w:r>
          </w:p>
        </w:tc>
        <w:tc>
          <w:tcPr>
            <w:tcW w:type="dxa" w:w="18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☐ pass ☐ stop</w:t>
            </w:r>
          </w:p>
        </w:tc>
      </w:tr>
    </w:tbl>
    <w:p>
      <w:pPr>
        <w:pStyle w:val="Heading2"/>
        <w:keepNext/>
      </w:pPr>
      <w:r>
        <w:t>Final review before sending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☐ Objectives are prioritised and linked to a baseline.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☐ Audiences, journeys, content, functions and integrations are identifiable.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☐ Every critical requirement states acceptance, evidence, owner and blocking status.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☐ Ownership, maintenance, reversibility and dependencies are requested.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☐ Open questions remain visible; no solution is imposed without a reason.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CE2D4"/>
          <w:left w:val="single" w:sz="5" w:space="0" w:color="DCE2D4"/>
          <w:bottom w:val="single" w:sz="5" w:space="0" w:color="DCE2D4"/>
          <w:right w:val="single" w:sz="5" w:space="0" w:color="DCE2D4"/>
          <w:insideH w:val="single" w:sz="5" w:space="0" w:color="DCE2D4"/>
          <w:insideV w:val="single" w:sz="5" w:space="0" w:color="DCE2D4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3B74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LICENCE AND LIMIT</w:t>
            </w:r>
          </w:p>
        </w:tc>
      </w:tr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8F4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21"/>
              </w:rPr>
              <w:t>Edikka template licensed under Creative Commons Attribution 4.0 International: adaptation and redistribution are permitted with credit to Edikka and a link to the canonical page. This document is neither a contract nor a guarantee of results. Licence: creativecommons.org/licenses/by/4.0/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</w:pPr>
    <w:r/>
    <w:r>
      <w:rPr>
        <w:rFonts w:ascii="Calibri" w:hAnsi="Calibri"/>
        <w:b w:val="0"/>
        <w:i w:val="0"/>
        <w:color w:val="5A6670"/>
        <w:sz w:val="14"/>
      </w:rPr>
      <w:t>CC BY 4.0 · edikka.com/en/insights/digital-strategy/b2b-website-redesign-brief</w:t>
    </w:r>
  </w:p>
  <w:p>
    <w:pPr>
      <w:spacing w:before="0" w:after="0"/>
      <w:jc w:val="right"/>
    </w:pPr>
    <w:r>
      <w:rPr>
        <w:rFonts w:ascii="Calibri" w:hAnsi="Calibri"/>
        <w:b/>
        <w:i w:val="0"/>
        <w:color w:val="5A6670"/>
        <w:sz w:val="17"/>
      </w:rPr>
      <w:t xml:space="preserve">EDIKKA · </w:t>
    </w:r>
    <w:fldSimple w:instr="PAGE">
      <w:r>
        <w:rPr>
          <w:color w:val="5A6670"/>
          <w:sz w:val="17"/>
        </w:rPr>
        <w:t>1</w:t>
      </w:r>
    </w:fldSimple>
    <w:r>
      <w:rPr>
        <w:rFonts w:ascii="Calibri" w:hAnsi="Calibri"/>
        <w:b w:val="0"/>
        <w:i w:val="0"/>
        <w:color w:val="5A6670"/>
        <w:sz w:val="17"/>
      </w:rPr>
      <w:t xml:space="preserve"> / 8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before="0" w:after="80"/>
      <w:pBdr>
        <w:bottom w:val="single" w:sz="6" w:space="4" w:color="D7DBE2"/>
      </w:pBdr>
    </w:pPr>
    <w:r/>
    <w:r>
      <w:rPr>
        <w:rFonts w:ascii="Calibri" w:hAnsi="Calibri"/>
        <w:b/>
        <w:i w:val="0"/>
        <w:color w:val="5A6670"/>
        <w:sz w:val="17"/>
      </w:rPr>
      <w:t>EDIKKA · WEBSITE REDESIGN BRIEF</w:t>
    </w:r>
    <w:r>
      <w:rPr>
        <w:rFonts w:ascii="Calibri" w:hAnsi="Calibri"/>
        <w:b w:val="0"/>
        <w:i w:val="0"/>
        <w:color w:val="5A6670"/>
        <w:sz w:val="17"/>
      </w:rPr>
      <w:tab/>
      <w:t>B2B WEBSITE REDESIGN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  <w:jc w:val="left"/>
    </w:pPr>
    <w:rPr>
      <w:rFonts w:ascii="Calibri" w:hAnsi="Calibri"/>
      <w:b w:val="0"/>
      <w:color w:val="0C1A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0C1A2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0C1A2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64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243B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C1A24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360" w:line="276" w:lineRule="auto"/>
    </w:pPr>
    <w:rPr>
      <w:rFonts w:asciiTheme="majorHAnsi" w:eastAsiaTheme="majorEastAsia" w:hAnsiTheme="majorHAnsi" w:cstheme="majorBidi" w:ascii="Calibri" w:hAnsi="Calibri"/>
      <w:b w:val="0"/>
      <w:i/>
      <w:iCs/>
      <w:color w:val="5A6670"/>
      <w:spacing w:val="15"/>
      <w:sz w:val="27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B2B website redesign brief</dc:title>
  <dc:subject>Editable template with acceptance criteria</dc:subject>
  <dc:creator>Edikka</dc:creator>
  <cp:keywords>B2B website redesign, brief, acceptance criteria, SEO migration, accessibility, CC BY</cp:keywords>
  <dc:description>Eight-page operational template for a controllable B2B website redesign.</dc:description>
  <cp:lastModifiedBy>Edikka</cp:lastModifiedBy>
  <cp:revision>1</cp:revision>
  <dcterms:created xsi:type="dcterms:W3CDTF">2026-08-11T00:00:00Z</dcterms:created>
  <dcterms:modified xsi:type="dcterms:W3CDTF">2026-08-11T00:00:00Z</dcterms:modified>
  <cp:category>Modèle public Edikka</cp:category>
  <cp:comments>Version 1.2 — 11 August 2026 — CC BY 4.0</cp:comments>
</cp:coreProperties>
</file>